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8E2999F"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292BC0">
        <w:rPr>
          <w:rFonts w:ascii="Calibri" w:hAnsi="Calibri"/>
        </w:rPr>
        <w:t>ENAV23-11.3</w:t>
      </w:r>
      <w:bookmarkStart w:id="0" w:name="_GoBack"/>
      <w:bookmarkEnd w:id="0"/>
    </w:p>
    <w:p w14:paraId="5A14DE03" w14:textId="1A4E6A35" w:rsidR="00BF32F0" w:rsidRPr="00011CD2" w:rsidRDefault="00BC5891" w:rsidP="00011CD2">
      <w:pPr>
        <w:pStyle w:val="Heading1"/>
        <w:rPr>
          <w:rFonts w:ascii="Calibri" w:hAnsi="Calibri"/>
        </w:rPr>
      </w:pPr>
      <w:r>
        <w:rPr>
          <w:rFonts w:ascii="Calibri" w:hAnsi="Calibri"/>
        </w:rPr>
        <w:t>Introduction</w:t>
      </w:r>
    </w:p>
    <w:p w14:paraId="2CD3AC25"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IMO’s definition of e-navigation requires the harmonized exchange of information between ship and shore in a digital format [SIP] as maritime services. Over the last e-navigation IALA sessions, operational requirements for maritime services have been identified. Although these requirements still need to be refined, specifications of associated technical services should be developed in order to implement these maritime services.</w:t>
      </w:r>
    </w:p>
    <w:p w14:paraId="4F7FD418" w14:textId="77777777" w:rsidR="00BC5891" w:rsidRPr="00BC5891" w:rsidRDefault="00BC5891" w:rsidP="00BC5891">
      <w:pPr>
        <w:rPr>
          <w:rFonts w:asciiTheme="minorHAnsi" w:hAnsiTheme="minorHAnsi" w:cstheme="minorHAnsi"/>
        </w:rPr>
      </w:pPr>
    </w:p>
    <w:p w14:paraId="75F86F96"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E-navigation provides five different solutions (S1 to S5) while this working group focusing on S5. This includes inter alia a set of maritime services providing information between ships and shore, common maritime data structure, Maritime Resource Name (MRN).</w:t>
      </w:r>
    </w:p>
    <w:p w14:paraId="56DDC9A6" w14:textId="77777777" w:rsidR="00BC5891" w:rsidRPr="00BC5891" w:rsidRDefault="00BC5891" w:rsidP="00BC5891">
      <w:pPr>
        <w:rPr>
          <w:rFonts w:asciiTheme="minorHAnsi" w:hAnsiTheme="minorHAnsi" w:cstheme="minorHAnsi"/>
        </w:rPr>
      </w:pPr>
    </w:p>
    <w:p w14:paraId="158DBE66"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The harmonization of e-navigation technical services is carried out by the Harmonization Technical Working Group. Following the restructuring of the e-navigation Committee, the Digital Information System Working Group is aimed to continue the harmonization of e-navigation and recommendations and guidelines for digital information systems for e-navigation and other purposes. This work is based on the previous work on the ENAV Services and Harmonization Working Groups. The work in this group requires the further harmonization with other ENAV working groups as well as with all IALA Committees in order to meet the stakeholders’ operational requirements.</w:t>
      </w:r>
    </w:p>
    <w:p w14:paraId="703E9B2B" w14:textId="77777777" w:rsidR="00BC5891" w:rsidRPr="00011CD2" w:rsidRDefault="00BC5891" w:rsidP="00FE5674">
      <w:pPr>
        <w:pStyle w:val="BodyText"/>
        <w:tabs>
          <w:tab w:val="left" w:pos="2835"/>
        </w:tabs>
        <w:rPr>
          <w:rFonts w:ascii="Calibri" w:hAnsi="Calibri"/>
        </w:rPr>
      </w:pPr>
    </w:p>
    <w:p w14:paraId="5CF66326" w14:textId="04AD215C" w:rsidR="005A594B" w:rsidRPr="00011CD2" w:rsidRDefault="00BC5891" w:rsidP="00011CD2">
      <w:pPr>
        <w:pStyle w:val="Heading1"/>
        <w:rPr>
          <w:rFonts w:ascii="Calibri" w:hAnsi="Calibri"/>
        </w:rPr>
      </w:pPr>
      <w:r>
        <w:rPr>
          <w:rFonts w:ascii="Calibri" w:hAnsi="Calibri"/>
        </w:rPr>
        <w:t>Terms of reference</w:t>
      </w:r>
    </w:p>
    <w:p w14:paraId="7DC41878"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The Working Group, taking into account the work carried out by the IMO, the Harmonization Working Group and the ENAV Services Working Group of the previous e-navigation Committee, the input papers submitted to the Committee and the comments made and decisions taken in plenary, is instructed to:</w:t>
      </w:r>
    </w:p>
    <w:p w14:paraId="66EBAC14" w14:textId="77777777" w:rsidR="00BC5891" w:rsidRPr="00BC5891" w:rsidRDefault="00BC5891" w:rsidP="00BC5891">
      <w:pPr>
        <w:rPr>
          <w:rFonts w:asciiTheme="minorHAnsi" w:hAnsiTheme="minorHAnsi" w:cstheme="minorHAnsi"/>
        </w:rPr>
      </w:pPr>
    </w:p>
    <w:p w14:paraId="7A355819"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collect the requirements in order to harmonize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as well as MRN from other Committees and international organizations in agile ways;</w:t>
      </w:r>
    </w:p>
    <w:p w14:paraId="6B81B94E"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develop IALA documents and specifications on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AtoN as well as MRN;</w:t>
      </w:r>
    </w:p>
    <w:p w14:paraId="6AAED9D9"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review and maintain existing IALA documents on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as well as MRN and update if necessary;</w:t>
      </w:r>
    </w:p>
    <w:p w14:paraId="50E8450E"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provide guidance on cyber security related to the use of data structure, e-navigation technical services, MRN and additional stakeholders’ requirements;</w:t>
      </w:r>
    </w:p>
    <w:p w14:paraId="79AE0126"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organize Workshops, Seminars and other events on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as well as MRN if necessary;</w:t>
      </w:r>
    </w:p>
    <w:p w14:paraId="236F118E"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liaise with other Committees where necessary;</w:t>
      </w:r>
    </w:p>
    <w:p w14:paraId="77014D13"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submit a written report to plenary</w:t>
      </w:r>
      <w:r w:rsidRPr="00BC5891">
        <w:rPr>
          <w:rFonts w:asciiTheme="minorHAnsi" w:eastAsiaTheme="minorEastAsia" w:hAnsiTheme="minorHAnsi" w:cstheme="minorHAnsi"/>
        </w:rPr>
        <w:t xml:space="preserve"> at the end of each session;</w:t>
      </w:r>
    </w:p>
    <w:p w14:paraId="07F6BF9A" w14:textId="77777777" w:rsidR="00BC5891" w:rsidRDefault="00BC5891" w:rsidP="00BC5891">
      <w:pPr>
        <w:pStyle w:val="ListParagraph"/>
        <w:ind w:left="1520"/>
      </w:pPr>
    </w:p>
    <w:p w14:paraId="60BCC120" w14:textId="77777777" w:rsidR="0080294B" w:rsidRPr="00011CD2" w:rsidRDefault="0080294B" w:rsidP="00FE5674">
      <w:pPr>
        <w:pStyle w:val="BodyText"/>
        <w:tabs>
          <w:tab w:val="left" w:pos="2835"/>
        </w:tabs>
        <w:rPr>
          <w:rFonts w:ascii="Calibri" w:hAnsi="Calibri"/>
        </w:rPr>
      </w:pPr>
    </w:p>
    <w:p w14:paraId="5A3AAC9D" w14:textId="0E2D29F2" w:rsidR="00783FEA" w:rsidRPr="00011CD2" w:rsidRDefault="00783FEA" w:rsidP="00783FEA">
      <w:pPr>
        <w:pStyle w:val="BodyText"/>
        <w:jc w:val="center"/>
        <w:rPr>
          <w:rFonts w:ascii="Calibri" w:hAnsi="Calibri"/>
        </w:rPr>
      </w:pPr>
    </w:p>
    <w:sectPr w:rsidR="00783FEA" w:rsidRPr="00011CD2" w:rsidSect="006B75E5">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A13B4" w14:textId="77777777" w:rsidR="00D81C99" w:rsidRDefault="00D81C99" w:rsidP="00362CD9">
      <w:r>
        <w:separator/>
      </w:r>
    </w:p>
  </w:endnote>
  <w:endnote w:type="continuationSeparator" w:id="0">
    <w:p w14:paraId="72B168AF" w14:textId="77777777" w:rsidR="00D81C99" w:rsidRDefault="00D81C9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15244" w14:textId="77777777" w:rsidR="00BC5891" w:rsidRPr="00BC5891" w:rsidRDefault="00BC5891" w:rsidP="00BC5891">
    <w:pPr>
      <w:pStyle w:val="Footer"/>
      <w:rPr>
        <w:rFonts w:ascii="Calibri" w:hAnsi="Calibri"/>
        <w:sz w:val="18"/>
        <w:szCs w:val="18"/>
      </w:rPr>
    </w:pPr>
    <w:r w:rsidRPr="00BC5891">
      <w:rPr>
        <w:rFonts w:ascii="Calibri" w:hAnsi="Calibri"/>
        <w:sz w:val="18"/>
        <w:szCs w:val="18"/>
      </w:rPr>
      <w:t>Digital Information System Working Group (WG 1)</w:t>
    </w:r>
  </w:p>
  <w:p w14:paraId="6ECDDFA1" w14:textId="77777777" w:rsidR="00BC5891" w:rsidRPr="00BC5891" w:rsidRDefault="00BC5891" w:rsidP="00BC5891">
    <w:pPr>
      <w:pStyle w:val="Footer"/>
      <w:rPr>
        <w:rFonts w:ascii="Calibri" w:hAnsi="Calibri"/>
        <w:sz w:val="18"/>
        <w:szCs w:val="18"/>
      </w:rPr>
    </w:pPr>
    <w:r w:rsidRPr="00BC5891">
      <w:rPr>
        <w:rFonts w:ascii="Calibri" w:hAnsi="Calibri"/>
        <w:sz w:val="18"/>
        <w:szCs w:val="18"/>
      </w:rPr>
      <w:t>Draft Terms of Reference</w:t>
    </w:r>
  </w:p>
  <w:p w14:paraId="08F0EF88" w14:textId="0665393B" w:rsidR="00362CD9" w:rsidRPr="00BC5891" w:rsidRDefault="00362CD9" w:rsidP="00BC5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B8AE0" w14:textId="77777777" w:rsidR="00D81C99" w:rsidRDefault="00D81C99" w:rsidP="00362CD9">
      <w:r>
        <w:separator/>
      </w:r>
    </w:p>
  </w:footnote>
  <w:footnote w:type="continuationSeparator" w:id="0">
    <w:p w14:paraId="7CA1CB4B" w14:textId="77777777" w:rsidR="00D81C99" w:rsidRDefault="00D81C99"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18DAA" w14:textId="77777777" w:rsidR="00BC5891" w:rsidRPr="00BC5891" w:rsidRDefault="00BC5891" w:rsidP="00BC5891">
    <w:pPr>
      <w:pStyle w:val="Header"/>
      <w:jc w:val="center"/>
      <w:rPr>
        <w:rFonts w:ascii="Calibri" w:hAnsi="Calibri"/>
        <w:b/>
        <w:color w:val="0070C0"/>
        <w:sz w:val="32"/>
        <w:szCs w:val="32"/>
      </w:rPr>
    </w:pPr>
    <w:r w:rsidRPr="00BC5891">
      <w:rPr>
        <w:rFonts w:ascii="Calibri" w:hAnsi="Calibri" w:hint="eastAsia"/>
        <w:b/>
        <w:color w:val="0070C0"/>
        <w:sz w:val="32"/>
        <w:szCs w:val="32"/>
      </w:rPr>
      <w:t>Digital Information System Working Group (WG 1)</w:t>
    </w:r>
  </w:p>
  <w:p w14:paraId="77448CE5" w14:textId="77777777" w:rsidR="00BC5891" w:rsidRPr="00BC5891" w:rsidRDefault="00BC5891" w:rsidP="00BC5891">
    <w:pPr>
      <w:pStyle w:val="Header"/>
      <w:jc w:val="center"/>
      <w:rPr>
        <w:rFonts w:ascii="Calibri" w:hAnsi="Calibri"/>
        <w:b/>
        <w:color w:val="0070C0"/>
        <w:sz w:val="32"/>
        <w:szCs w:val="32"/>
      </w:rPr>
    </w:pPr>
    <w:r w:rsidRPr="00BC5891">
      <w:rPr>
        <w:rFonts w:ascii="Calibri" w:hAnsi="Calibri" w:hint="eastAsia"/>
        <w:b/>
        <w:color w:val="0070C0"/>
        <w:sz w:val="32"/>
        <w:szCs w:val="32"/>
      </w:rPr>
      <w:t>Draft Terms of Refer</w:t>
    </w:r>
    <w:r w:rsidRPr="00BC5891">
      <w:rPr>
        <w:rFonts w:ascii="Calibri" w:hAnsi="Calibri"/>
        <w:b/>
        <w:color w:val="0070C0"/>
        <w:sz w:val="32"/>
        <w:szCs w:val="32"/>
      </w:rPr>
      <w:t>e</w:t>
    </w:r>
    <w:r w:rsidRPr="00BC5891">
      <w:rPr>
        <w:rFonts w:ascii="Calibri" w:hAnsi="Calibri" w:hint="eastAsia"/>
        <w:b/>
        <w:color w:val="0070C0"/>
        <w:sz w:val="32"/>
        <w:szCs w:val="32"/>
      </w:rPr>
      <w:t>nce</w:t>
    </w:r>
  </w:p>
  <w:p w14:paraId="7DAFB78D" w14:textId="77777777" w:rsidR="00BC5891" w:rsidRPr="00011CD2" w:rsidRDefault="00BC5891" w:rsidP="002D65B8">
    <w:pPr>
      <w:pStyle w:val="Header"/>
      <w:jc w:val="center"/>
      <w:rPr>
        <w:rFonts w:ascii="Calibri" w:hAnsi="Calibri"/>
        <w:color w:val="0070C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2047645"/>
    <w:multiLevelType w:val="hybridMultilevel"/>
    <w:tmpl w:val="073E45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933421D"/>
    <w:multiLevelType w:val="hybridMultilevel"/>
    <w:tmpl w:val="0CF2DB0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1D66449"/>
    <w:multiLevelType w:val="hybridMultilevel"/>
    <w:tmpl w:val="47C49322"/>
    <w:lvl w:ilvl="0" w:tplc="0409000F">
      <w:start w:val="1"/>
      <w:numFmt w:val="decimal"/>
      <w:lvlText w:val="%1."/>
      <w:lvlJc w:val="left"/>
      <w:pPr>
        <w:ind w:left="1520" w:hanging="420"/>
      </w:p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5"/>
  </w:num>
  <w:num w:numId="8">
    <w:abstractNumId w:val="11"/>
  </w:num>
  <w:num w:numId="9">
    <w:abstractNumId w:val="8"/>
  </w:num>
  <w:num w:numId="10">
    <w:abstractNumId w:val="18"/>
  </w:num>
  <w:num w:numId="11">
    <w:abstractNumId w:val="17"/>
  </w:num>
  <w:num w:numId="12">
    <w:abstractNumId w:val="15"/>
  </w:num>
  <w:num w:numId="13">
    <w:abstractNumId w:val="24"/>
  </w:num>
  <w:num w:numId="14">
    <w:abstractNumId w:val="5"/>
  </w:num>
  <w:num w:numId="15">
    <w:abstractNumId w:val="27"/>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10"/>
  </w:num>
  <w:num w:numId="4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11CD2"/>
    <w:rsid w:val="00024506"/>
    <w:rsid w:val="00037DF4"/>
    <w:rsid w:val="0004700E"/>
    <w:rsid w:val="00070C13"/>
    <w:rsid w:val="00084F33"/>
    <w:rsid w:val="000A2A25"/>
    <w:rsid w:val="000A77A7"/>
    <w:rsid w:val="000B1707"/>
    <w:rsid w:val="000C1B3E"/>
    <w:rsid w:val="000C6A41"/>
    <w:rsid w:val="00110AE7"/>
    <w:rsid w:val="00177F4D"/>
    <w:rsid w:val="00180DDA"/>
    <w:rsid w:val="001877A1"/>
    <w:rsid w:val="001B2A2D"/>
    <w:rsid w:val="001B737D"/>
    <w:rsid w:val="001C44A3"/>
    <w:rsid w:val="001E0E15"/>
    <w:rsid w:val="001F528A"/>
    <w:rsid w:val="001F704E"/>
    <w:rsid w:val="00205141"/>
    <w:rsid w:val="002125B0"/>
    <w:rsid w:val="00243228"/>
    <w:rsid w:val="00251483"/>
    <w:rsid w:val="00255CAA"/>
    <w:rsid w:val="00264305"/>
    <w:rsid w:val="002832E5"/>
    <w:rsid w:val="00292BC0"/>
    <w:rsid w:val="002A0346"/>
    <w:rsid w:val="002A4487"/>
    <w:rsid w:val="002B49E9"/>
    <w:rsid w:val="002C632E"/>
    <w:rsid w:val="002D3E8B"/>
    <w:rsid w:val="002D4575"/>
    <w:rsid w:val="002D5C0C"/>
    <w:rsid w:val="002D65B8"/>
    <w:rsid w:val="002E03D1"/>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7FAE"/>
    <w:rsid w:val="005A03B9"/>
    <w:rsid w:val="005A594B"/>
    <w:rsid w:val="005B32A3"/>
    <w:rsid w:val="005C0D44"/>
    <w:rsid w:val="005C566C"/>
    <w:rsid w:val="005C7E69"/>
    <w:rsid w:val="005E262D"/>
    <w:rsid w:val="005F23D3"/>
    <w:rsid w:val="005F7E20"/>
    <w:rsid w:val="006153BB"/>
    <w:rsid w:val="0062163A"/>
    <w:rsid w:val="00626A2E"/>
    <w:rsid w:val="00633C6D"/>
    <w:rsid w:val="00663A6E"/>
    <w:rsid w:val="006652C3"/>
    <w:rsid w:val="00691FD0"/>
    <w:rsid w:val="00692148"/>
    <w:rsid w:val="006B75E5"/>
    <w:rsid w:val="006C5948"/>
    <w:rsid w:val="006F2A74"/>
    <w:rsid w:val="007118F5"/>
    <w:rsid w:val="00712AA4"/>
    <w:rsid w:val="007146C4"/>
    <w:rsid w:val="00721AA1"/>
    <w:rsid w:val="00724B67"/>
    <w:rsid w:val="007547F8"/>
    <w:rsid w:val="00765622"/>
    <w:rsid w:val="00770B6C"/>
    <w:rsid w:val="00783FEA"/>
    <w:rsid w:val="007C3ED3"/>
    <w:rsid w:val="007E2B9E"/>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3E9C"/>
    <w:rsid w:val="00953F4D"/>
    <w:rsid w:val="00960BB8"/>
    <w:rsid w:val="00964F5C"/>
    <w:rsid w:val="009831C0"/>
    <w:rsid w:val="00983704"/>
    <w:rsid w:val="00A0389B"/>
    <w:rsid w:val="00A03AF2"/>
    <w:rsid w:val="00A17E3F"/>
    <w:rsid w:val="00A20C51"/>
    <w:rsid w:val="00A446C9"/>
    <w:rsid w:val="00A635D6"/>
    <w:rsid w:val="00A64BE9"/>
    <w:rsid w:val="00A8553A"/>
    <w:rsid w:val="00A93AED"/>
    <w:rsid w:val="00AD4A94"/>
    <w:rsid w:val="00AE1319"/>
    <w:rsid w:val="00AE34BB"/>
    <w:rsid w:val="00B226F2"/>
    <w:rsid w:val="00B274DF"/>
    <w:rsid w:val="00B56BDF"/>
    <w:rsid w:val="00B65812"/>
    <w:rsid w:val="00B737CB"/>
    <w:rsid w:val="00B76EC9"/>
    <w:rsid w:val="00B85CD6"/>
    <w:rsid w:val="00B90A27"/>
    <w:rsid w:val="00B9554D"/>
    <w:rsid w:val="00BB2B9F"/>
    <w:rsid w:val="00BB7D9E"/>
    <w:rsid w:val="00BC5891"/>
    <w:rsid w:val="00BD081A"/>
    <w:rsid w:val="00BD3CB8"/>
    <w:rsid w:val="00BD4E6F"/>
    <w:rsid w:val="00BF32F0"/>
    <w:rsid w:val="00BF4DCE"/>
    <w:rsid w:val="00C05CE5"/>
    <w:rsid w:val="00C146A8"/>
    <w:rsid w:val="00C6171E"/>
    <w:rsid w:val="00C64D78"/>
    <w:rsid w:val="00CA6F2C"/>
    <w:rsid w:val="00CB4DB6"/>
    <w:rsid w:val="00CF1871"/>
    <w:rsid w:val="00D1133E"/>
    <w:rsid w:val="00D17A34"/>
    <w:rsid w:val="00D26628"/>
    <w:rsid w:val="00D31B22"/>
    <w:rsid w:val="00D332B3"/>
    <w:rsid w:val="00D55207"/>
    <w:rsid w:val="00D81C99"/>
    <w:rsid w:val="00D83B1B"/>
    <w:rsid w:val="00D91CD3"/>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5BF4"/>
    <w:rsid w:val="00F267DB"/>
    <w:rsid w:val="00F46F6F"/>
    <w:rsid w:val="00F60608"/>
    <w:rsid w:val="00F62217"/>
    <w:rsid w:val="00F8036A"/>
    <w:rsid w:val="00FB17A9"/>
    <w:rsid w:val="00FB527C"/>
    <w:rsid w:val="00FB6F75"/>
    <w:rsid w:val="00FC0EB3"/>
    <w:rsid w:val="00FD675E"/>
    <w:rsid w:val="00FE3C5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9E115808-1EDA-40B5-8096-84ABD88DB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52E70-C662-47DE-9717-EBDC39486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384</Words>
  <Characters>2189</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DWG1-4.1 (20160225)</vt:lpstr>
      <vt:lpstr>DWG1-4.1 (20160225)</vt:lpstr>
    </vt:vector>
  </TitlesOfParts>
  <Company>Statens IT</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Kevin Gregory</cp:lastModifiedBy>
  <cp:revision>2</cp:revision>
  <dcterms:created xsi:type="dcterms:W3CDTF">2019-02-18T07:36:00Z</dcterms:created>
  <dcterms:modified xsi:type="dcterms:W3CDTF">2019-02-18T07:36:00Z</dcterms:modified>
</cp:coreProperties>
</file>